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794" w:rsidRPr="000A6794" w:rsidRDefault="000A6794" w:rsidP="000A6794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A6794">
        <w:rPr>
          <w:b/>
          <w:sz w:val="24"/>
          <w:szCs w:val="24"/>
        </w:rPr>
        <w:t>Annual Progress Report submitted to IPNI and Foundation for Agronomic Research (FAR)</w:t>
      </w:r>
    </w:p>
    <w:p w:rsidR="000A6794" w:rsidRPr="000A6794" w:rsidRDefault="000A6794" w:rsidP="000A6794">
      <w:pPr>
        <w:spacing w:line="240" w:lineRule="auto"/>
        <w:rPr>
          <w:b/>
          <w:sz w:val="24"/>
          <w:szCs w:val="24"/>
        </w:rPr>
      </w:pPr>
      <w:r w:rsidRPr="000A6794">
        <w:rPr>
          <w:b/>
          <w:sz w:val="24"/>
          <w:szCs w:val="24"/>
        </w:rPr>
        <w:t xml:space="preserve">Project: </w:t>
      </w:r>
      <w:r w:rsidRPr="000A6794">
        <w:rPr>
          <w:b/>
          <w:bCs/>
          <w:sz w:val="24"/>
          <w:szCs w:val="24"/>
        </w:rPr>
        <w:t>Can application of enhanced efficiency fertilizers at planting reduce N losses from grain corn production in Ontario? (FAR identifier CAN-4RC01)</w:t>
      </w:r>
    </w:p>
    <w:p w:rsidR="000A6794" w:rsidRPr="000A6794" w:rsidRDefault="000A6794" w:rsidP="000A6794">
      <w:pPr>
        <w:pStyle w:val="Default"/>
        <w:rPr>
          <w:rFonts w:ascii="Calibri" w:hAnsi="Calibri"/>
        </w:rPr>
      </w:pPr>
      <w:r w:rsidRPr="000A6794">
        <w:rPr>
          <w:rFonts w:ascii="Calibri" w:hAnsi="Calibri"/>
          <w:b/>
          <w:bCs/>
        </w:rPr>
        <w:t xml:space="preserve">Project leader and contact information: </w:t>
      </w:r>
    </w:p>
    <w:p w:rsidR="000A6794" w:rsidRPr="000A6794" w:rsidRDefault="000A6794" w:rsidP="000A6794">
      <w:pPr>
        <w:pStyle w:val="QuickS"/>
        <w:tabs>
          <w:tab w:val="left" w:pos="-460"/>
          <w:tab w:val="left" w:pos="0"/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62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0"/>
        <w:rPr>
          <w:rFonts w:ascii="Calibri" w:hAnsi="Calibri" w:cs="Arial"/>
        </w:rPr>
      </w:pPr>
      <w:r w:rsidRPr="000A6794">
        <w:rPr>
          <w:rFonts w:ascii="Calibri" w:hAnsi="Calibri" w:cs="Arial"/>
        </w:rPr>
        <w:t xml:space="preserve">Claudia Wagner-Riddle, School of Environmental Sciences, University of Guelph, </w:t>
      </w:r>
      <w:hyperlink r:id="rId4" w:history="1">
        <w:r w:rsidRPr="000A6794">
          <w:rPr>
            <w:rStyle w:val="Hyperlink"/>
            <w:rFonts w:ascii="Calibri" w:hAnsi="Calibri" w:cs="Arial"/>
          </w:rPr>
          <w:t>cwagnerr@uoguelph.ca</w:t>
        </w:r>
      </w:hyperlink>
      <w:r w:rsidRPr="000A6794">
        <w:rPr>
          <w:rFonts w:ascii="Calibri" w:hAnsi="Calibri" w:cs="Arial"/>
        </w:rPr>
        <w:t>, phone: 519-824-4120 ext. 52787.</w:t>
      </w:r>
    </w:p>
    <w:p w:rsidR="000A6794" w:rsidRPr="000A6794" w:rsidRDefault="000A6794" w:rsidP="004520F0">
      <w:pPr>
        <w:spacing w:after="0" w:line="240" w:lineRule="auto"/>
        <w:rPr>
          <w:b/>
          <w:sz w:val="24"/>
          <w:szCs w:val="24"/>
        </w:rPr>
      </w:pPr>
    </w:p>
    <w:p w:rsidR="007531E5" w:rsidRPr="000A6794" w:rsidRDefault="007531E5" w:rsidP="004520F0">
      <w:pPr>
        <w:spacing w:line="240" w:lineRule="auto"/>
        <w:rPr>
          <w:sz w:val="24"/>
          <w:szCs w:val="24"/>
        </w:rPr>
      </w:pPr>
      <w:r w:rsidRPr="000A6794">
        <w:rPr>
          <w:b/>
          <w:sz w:val="24"/>
          <w:szCs w:val="24"/>
        </w:rPr>
        <w:t xml:space="preserve">Project </w:t>
      </w:r>
      <w:r w:rsidR="000A5928" w:rsidRPr="000A6794">
        <w:rPr>
          <w:b/>
          <w:sz w:val="24"/>
          <w:szCs w:val="24"/>
        </w:rPr>
        <w:t>Purpose</w:t>
      </w:r>
      <w:r w:rsidR="007D7F55" w:rsidRPr="000A6794">
        <w:rPr>
          <w:b/>
          <w:sz w:val="24"/>
          <w:szCs w:val="24"/>
        </w:rPr>
        <w:t xml:space="preserve">:  </w:t>
      </w:r>
      <w:r w:rsidR="000A5928" w:rsidRPr="000A6794">
        <w:rPr>
          <w:sz w:val="24"/>
          <w:szCs w:val="24"/>
        </w:rPr>
        <w:t xml:space="preserve">The overall goal of this project is to determine how combination of </w:t>
      </w:r>
      <w:r w:rsidR="0027788B" w:rsidRPr="000A6794">
        <w:rPr>
          <w:sz w:val="24"/>
          <w:szCs w:val="24"/>
        </w:rPr>
        <w:t>R</w:t>
      </w:r>
      <w:r w:rsidRPr="000A6794">
        <w:rPr>
          <w:sz w:val="24"/>
          <w:szCs w:val="24"/>
        </w:rPr>
        <w:t xml:space="preserve">ight </w:t>
      </w:r>
      <w:r w:rsidR="0027788B" w:rsidRPr="000A6794">
        <w:rPr>
          <w:sz w:val="24"/>
          <w:szCs w:val="24"/>
        </w:rPr>
        <w:t>T</w:t>
      </w:r>
      <w:r w:rsidR="000A5928" w:rsidRPr="000A6794">
        <w:rPr>
          <w:sz w:val="24"/>
          <w:szCs w:val="24"/>
        </w:rPr>
        <w:t>im</w:t>
      </w:r>
      <w:r w:rsidR="0027788B" w:rsidRPr="000A6794">
        <w:rPr>
          <w:sz w:val="24"/>
          <w:szCs w:val="24"/>
        </w:rPr>
        <w:t>e</w:t>
      </w:r>
      <w:r w:rsidR="000A5928" w:rsidRPr="000A6794">
        <w:rPr>
          <w:sz w:val="24"/>
          <w:szCs w:val="24"/>
        </w:rPr>
        <w:t xml:space="preserve"> and </w:t>
      </w:r>
      <w:r w:rsidR="0027788B" w:rsidRPr="000A6794">
        <w:rPr>
          <w:sz w:val="24"/>
          <w:szCs w:val="24"/>
        </w:rPr>
        <w:t>Right S</w:t>
      </w:r>
      <w:r w:rsidR="000A5928" w:rsidRPr="000A6794">
        <w:rPr>
          <w:sz w:val="24"/>
          <w:szCs w:val="24"/>
        </w:rPr>
        <w:t>ource of inorganic nitrogen fertilizer application to corn affect nitrogen losses in the form of nitrogen leaching</w:t>
      </w:r>
      <w:r w:rsidR="00D2122B" w:rsidRPr="000A6794">
        <w:rPr>
          <w:sz w:val="24"/>
          <w:szCs w:val="24"/>
        </w:rPr>
        <w:t xml:space="preserve"> and nitrous oxide </w:t>
      </w:r>
      <w:r w:rsidR="000A5928" w:rsidRPr="000A6794">
        <w:rPr>
          <w:sz w:val="24"/>
          <w:szCs w:val="24"/>
        </w:rPr>
        <w:t xml:space="preserve">fluxes.  </w:t>
      </w:r>
    </w:p>
    <w:p w:rsidR="007531E5" w:rsidRPr="000A6794" w:rsidRDefault="007531E5" w:rsidP="004520F0">
      <w:pPr>
        <w:spacing w:line="240" w:lineRule="auto"/>
        <w:rPr>
          <w:sz w:val="24"/>
          <w:szCs w:val="24"/>
        </w:rPr>
      </w:pPr>
      <w:r w:rsidRPr="000A6794">
        <w:rPr>
          <w:b/>
          <w:sz w:val="24"/>
          <w:szCs w:val="24"/>
        </w:rPr>
        <w:t>Treatments:</w:t>
      </w:r>
      <w:r w:rsidRPr="000A6794">
        <w:rPr>
          <w:sz w:val="24"/>
          <w:szCs w:val="24"/>
        </w:rPr>
        <w:t xml:space="preserve">  </w:t>
      </w:r>
      <w:r w:rsidR="000A6794">
        <w:rPr>
          <w:sz w:val="24"/>
          <w:szCs w:val="24"/>
        </w:rPr>
        <w:t>An e</w:t>
      </w:r>
      <w:r w:rsidR="004520F0" w:rsidRPr="000A6794">
        <w:rPr>
          <w:sz w:val="24"/>
          <w:szCs w:val="24"/>
        </w:rPr>
        <w:t>xperiment was set up in April 2015 (year 1 of 3 years) with the following plots:</w:t>
      </w:r>
    </w:p>
    <w:p w:rsidR="004520F0" w:rsidRPr="000A6794" w:rsidRDefault="00170B1D" w:rsidP="004520F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6CE116F0">
            <wp:extent cx="3881437" cy="3085918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26" cy="3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794" w:rsidRDefault="000A6794" w:rsidP="004520F0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Objectives: </w:t>
      </w:r>
      <w:r>
        <w:rPr>
          <w:sz w:val="24"/>
          <w:szCs w:val="24"/>
        </w:rPr>
        <w:t xml:space="preserve">Our objectives are the following: </w:t>
      </w:r>
    </w:p>
    <w:p w:rsidR="000A6794" w:rsidRDefault="000A6794" w:rsidP="004520F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1) to evaluate if applying the Right Product at planting (Enhanced Efficiency fertilizer with nitrification and urease inhibitors </w:t>
      </w:r>
      <w:r w:rsidR="0072056F">
        <w:rPr>
          <w:sz w:val="24"/>
          <w:szCs w:val="24"/>
        </w:rPr>
        <w:t xml:space="preserve">NUI </w:t>
      </w:r>
      <w:r w:rsidR="00170B1D">
        <w:rPr>
          <w:sz w:val="24"/>
          <w:szCs w:val="24"/>
        </w:rPr>
        <w:t>to urea</w:t>
      </w:r>
      <w:r w:rsidR="006C5946">
        <w:rPr>
          <w:sz w:val="24"/>
          <w:szCs w:val="24"/>
        </w:rPr>
        <w:t xml:space="preserve">, </w:t>
      </w:r>
      <w:r w:rsidR="0072056F">
        <w:rPr>
          <w:sz w:val="24"/>
          <w:szCs w:val="24"/>
        </w:rPr>
        <w:t>Urea + NUI</w:t>
      </w:r>
      <w:r>
        <w:rPr>
          <w:sz w:val="24"/>
          <w:szCs w:val="24"/>
        </w:rPr>
        <w:t xml:space="preserve">) </w:t>
      </w:r>
      <w:r w:rsidR="00825163">
        <w:rPr>
          <w:sz w:val="24"/>
          <w:szCs w:val="24"/>
        </w:rPr>
        <w:t xml:space="preserve">or at side-dress (UAN + NUI) </w:t>
      </w:r>
      <w:r>
        <w:rPr>
          <w:sz w:val="24"/>
          <w:szCs w:val="24"/>
        </w:rPr>
        <w:t xml:space="preserve">reduces nitrous oxide emissions and leaching losses compared to </w:t>
      </w:r>
      <w:r w:rsidR="00825163">
        <w:rPr>
          <w:sz w:val="24"/>
          <w:szCs w:val="24"/>
        </w:rPr>
        <w:t xml:space="preserve">just </w:t>
      </w:r>
      <w:r>
        <w:rPr>
          <w:sz w:val="24"/>
          <w:szCs w:val="24"/>
        </w:rPr>
        <w:t>urea</w:t>
      </w:r>
      <w:r w:rsidR="00825163">
        <w:rPr>
          <w:sz w:val="24"/>
          <w:szCs w:val="24"/>
        </w:rPr>
        <w:t xml:space="preserve"> or UAN, respectively</w:t>
      </w:r>
      <w:r>
        <w:rPr>
          <w:sz w:val="24"/>
          <w:szCs w:val="24"/>
        </w:rPr>
        <w:t xml:space="preserve">; </w:t>
      </w:r>
    </w:p>
    <w:p w:rsidR="00825163" w:rsidRDefault="000A6794" w:rsidP="0082516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170B1D">
        <w:rPr>
          <w:sz w:val="24"/>
          <w:szCs w:val="24"/>
        </w:rPr>
        <w:t xml:space="preserve">to establish if applying </w:t>
      </w:r>
      <w:r w:rsidR="00825163">
        <w:rPr>
          <w:sz w:val="24"/>
          <w:szCs w:val="24"/>
        </w:rPr>
        <w:t xml:space="preserve">at the Right Time (UAN at side-dress) reduces nitrous oxide emissions and leaching losses compared to urea at planting; </w:t>
      </w:r>
    </w:p>
    <w:p w:rsidR="00825163" w:rsidRDefault="00170B1D" w:rsidP="0082516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3) to verify if applying the Right Product at the Right Time </w:t>
      </w:r>
      <w:r w:rsidR="006C5946">
        <w:rPr>
          <w:sz w:val="24"/>
          <w:szCs w:val="24"/>
        </w:rPr>
        <w:t>(UAN+</w:t>
      </w:r>
      <w:r w:rsidR="0072056F">
        <w:rPr>
          <w:sz w:val="24"/>
          <w:szCs w:val="24"/>
        </w:rPr>
        <w:t>NUI</w:t>
      </w:r>
      <w:r w:rsidR="003749B7">
        <w:rPr>
          <w:sz w:val="24"/>
          <w:szCs w:val="24"/>
        </w:rPr>
        <w:t xml:space="preserve"> applied as side</w:t>
      </w:r>
      <w:r w:rsidR="0072056F">
        <w:rPr>
          <w:sz w:val="24"/>
          <w:szCs w:val="24"/>
        </w:rPr>
        <w:t>-</w:t>
      </w:r>
      <w:r w:rsidR="003749B7">
        <w:rPr>
          <w:sz w:val="24"/>
          <w:szCs w:val="24"/>
        </w:rPr>
        <w:t>dress around 6</w:t>
      </w:r>
      <w:r w:rsidR="003749B7" w:rsidRPr="00170B1D">
        <w:rPr>
          <w:sz w:val="24"/>
          <w:szCs w:val="24"/>
          <w:vertAlign w:val="superscript"/>
        </w:rPr>
        <w:t>th</w:t>
      </w:r>
      <w:r w:rsidR="003749B7">
        <w:rPr>
          <w:sz w:val="24"/>
          <w:szCs w:val="24"/>
        </w:rPr>
        <w:t xml:space="preserve"> leaf stage) </w:t>
      </w:r>
      <w:r w:rsidR="00825163">
        <w:rPr>
          <w:sz w:val="24"/>
          <w:szCs w:val="24"/>
        </w:rPr>
        <w:t>reduces nitrous oxide emissions and leaching losses compared to urea.</w:t>
      </w:r>
    </w:p>
    <w:p w:rsidR="00956038" w:rsidRDefault="0027788B" w:rsidP="004520F0">
      <w:pPr>
        <w:spacing w:line="240" w:lineRule="auto"/>
        <w:rPr>
          <w:sz w:val="24"/>
          <w:szCs w:val="24"/>
        </w:rPr>
      </w:pPr>
      <w:r w:rsidRPr="000A6794">
        <w:rPr>
          <w:b/>
          <w:sz w:val="24"/>
          <w:szCs w:val="24"/>
        </w:rPr>
        <w:t>Methods:</w:t>
      </w:r>
      <w:r w:rsidR="00D2122B" w:rsidRPr="000A6794">
        <w:rPr>
          <w:b/>
          <w:sz w:val="24"/>
          <w:szCs w:val="24"/>
        </w:rPr>
        <w:t xml:space="preserve"> </w:t>
      </w:r>
      <w:r w:rsidR="003749B7">
        <w:rPr>
          <w:b/>
          <w:sz w:val="24"/>
          <w:szCs w:val="24"/>
        </w:rPr>
        <w:t xml:space="preserve"> </w:t>
      </w:r>
      <w:r w:rsidR="003749B7" w:rsidRPr="003749B7">
        <w:rPr>
          <w:sz w:val="24"/>
          <w:szCs w:val="24"/>
        </w:rPr>
        <w:t xml:space="preserve">We </w:t>
      </w:r>
      <w:r w:rsidR="003749B7">
        <w:rPr>
          <w:sz w:val="24"/>
          <w:szCs w:val="24"/>
        </w:rPr>
        <w:t>are using a micrometeorological method to measure half-hourly N</w:t>
      </w:r>
      <w:r w:rsidR="003749B7" w:rsidRPr="003749B7">
        <w:rPr>
          <w:sz w:val="24"/>
          <w:szCs w:val="24"/>
          <w:vertAlign w:val="subscript"/>
        </w:rPr>
        <w:t>2</w:t>
      </w:r>
      <w:r w:rsidR="003749B7">
        <w:rPr>
          <w:sz w:val="24"/>
          <w:szCs w:val="24"/>
        </w:rPr>
        <w:t xml:space="preserve">O fluxes over four plots in sequence for a maximum of 12 observations per plot per day.  </w:t>
      </w:r>
      <w:r w:rsidR="00D2122B" w:rsidRPr="000A6794">
        <w:rPr>
          <w:sz w:val="24"/>
          <w:szCs w:val="24"/>
        </w:rPr>
        <w:t xml:space="preserve">Air is continuously sampled from two heights over each plot and directed through a tunable diode laser trace gas analyzer. These measurements combined with turbulence characterization of the air give us the amount of gas (nitrous oxide and carbon dioxide; greenhouse gases) emitted per area. </w:t>
      </w:r>
      <w:r w:rsidR="003749B7">
        <w:rPr>
          <w:sz w:val="24"/>
          <w:szCs w:val="24"/>
        </w:rPr>
        <w:t>Measurements of N</w:t>
      </w:r>
      <w:r w:rsidR="003749B7" w:rsidRPr="003749B7">
        <w:rPr>
          <w:sz w:val="24"/>
          <w:szCs w:val="24"/>
          <w:vertAlign w:val="subscript"/>
        </w:rPr>
        <w:t>2</w:t>
      </w:r>
      <w:r w:rsidR="003749B7">
        <w:rPr>
          <w:sz w:val="24"/>
          <w:szCs w:val="24"/>
        </w:rPr>
        <w:t xml:space="preserve">O fluxes started in May 2015. </w:t>
      </w:r>
      <w:r w:rsidR="00D2122B" w:rsidRPr="000A6794">
        <w:rPr>
          <w:sz w:val="24"/>
          <w:szCs w:val="24"/>
        </w:rPr>
        <w:t xml:space="preserve">Soil solution samples from 80 cm depth </w:t>
      </w:r>
      <w:r w:rsidR="003749B7">
        <w:rPr>
          <w:sz w:val="24"/>
          <w:szCs w:val="24"/>
        </w:rPr>
        <w:t xml:space="preserve">were </w:t>
      </w:r>
      <w:r w:rsidR="003749B7">
        <w:rPr>
          <w:sz w:val="24"/>
          <w:szCs w:val="24"/>
        </w:rPr>
        <w:lastRenderedPageBreak/>
        <w:t xml:space="preserve">installed in fall 2015 and </w:t>
      </w:r>
      <w:r w:rsidR="00A90312">
        <w:rPr>
          <w:sz w:val="24"/>
          <w:szCs w:val="24"/>
        </w:rPr>
        <w:t>were</w:t>
      </w:r>
      <w:r w:rsidR="00D2122B" w:rsidRPr="000A6794">
        <w:rPr>
          <w:sz w:val="24"/>
          <w:szCs w:val="24"/>
        </w:rPr>
        <w:t xml:space="preserve"> combined with an estimate of deep drainage </w:t>
      </w:r>
      <w:r w:rsidR="00A90312">
        <w:rPr>
          <w:sz w:val="24"/>
          <w:szCs w:val="24"/>
        </w:rPr>
        <w:t xml:space="preserve">inferred from changes in soil storage (assessed with profile measurements of soil water content) and evapotranspiration (measured with an eddy covariance system) </w:t>
      </w:r>
      <w:r w:rsidR="00D2122B" w:rsidRPr="000A6794">
        <w:rPr>
          <w:sz w:val="24"/>
          <w:szCs w:val="24"/>
        </w:rPr>
        <w:t xml:space="preserve">to give amount of nitrogen leached over a year.  Supporting data includes plant biomass and yield, and soil </w:t>
      </w:r>
      <w:r w:rsidR="003749B7">
        <w:rPr>
          <w:sz w:val="24"/>
          <w:szCs w:val="24"/>
        </w:rPr>
        <w:t xml:space="preserve">mineral </w:t>
      </w:r>
      <w:r w:rsidR="00D2122B" w:rsidRPr="000A6794">
        <w:rPr>
          <w:sz w:val="24"/>
          <w:szCs w:val="24"/>
        </w:rPr>
        <w:t>nitrogen content.</w:t>
      </w:r>
      <w:r w:rsidR="003749B7">
        <w:rPr>
          <w:sz w:val="24"/>
          <w:szCs w:val="24"/>
        </w:rPr>
        <w:t xml:space="preserve"> The following pictures show field activities during the growing season of 201</w:t>
      </w:r>
      <w:r w:rsidR="00E80146">
        <w:rPr>
          <w:sz w:val="24"/>
          <w:szCs w:val="24"/>
        </w:rPr>
        <w:t>6</w:t>
      </w:r>
      <w:r w:rsidR="003749B7">
        <w:rPr>
          <w:sz w:val="24"/>
          <w:szCs w:val="24"/>
        </w:rPr>
        <w:t>.</w:t>
      </w:r>
    </w:p>
    <w:p w:rsidR="00F06182" w:rsidRDefault="00E80146" w:rsidP="004520F0">
      <w:pPr>
        <w:spacing w:line="240" w:lineRule="auto"/>
        <w:rPr>
          <w:b/>
          <w:noProof/>
          <w:sz w:val="24"/>
          <w:szCs w:val="24"/>
        </w:rPr>
      </w:pPr>
      <w:r w:rsidRPr="00E80146"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4144" behindDoc="0" locked="0" layoutInCell="1" allowOverlap="1" wp14:anchorId="10EB8CE4" wp14:editId="3788B2E3">
            <wp:simplePos x="0" y="0"/>
            <wp:positionH relativeFrom="column">
              <wp:posOffset>1967865</wp:posOffset>
            </wp:positionH>
            <wp:positionV relativeFrom="paragraph">
              <wp:posOffset>182164</wp:posOffset>
            </wp:positionV>
            <wp:extent cx="1836420" cy="1377315"/>
            <wp:effectExtent l="152400" t="152400" r="354330" b="356235"/>
            <wp:wrapSquare wrapText="bothSides"/>
            <wp:docPr id="32" name="Picture 31" descr="at pla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at planting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146"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124380D0" wp14:editId="42B176F1">
            <wp:simplePos x="0" y="0"/>
            <wp:positionH relativeFrom="column">
              <wp:posOffset>33887</wp:posOffset>
            </wp:positionH>
            <wp:positionV relativeFrom="paragraph">
              <wp:posOffset>155894</wp:posOffset>
            </wp:positionV>
            <wp:extent cx="1854835" cy="1391285"/>
            <wp:effectExtent l="152400" t="152400" r="354965" b="361315"/>
            <wp:wrapSquare wrapText="bothSides"/>
            <wp:docPr id="33" name="Picture 32" descr="at side-dress 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at side-dress stage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9B7" w:rsidRPr="003749B7">
        <w:rPr>
          <w:b/>
          <w:noProof/>
          <w:sz w:val="24"/>
          <w:szCs w:val="24"/>
        </w:rPr>
        <w:t xml:space="preserve"> </w:t>
      </w:r>
    </w:p>
    <w:p w:rsidR="00F06182" w:rsidRDefault="00F06182" w:rsidP="004520F0">
      <w:pPr>
        <w:spacing w:line="240" w:lineRule="auto"/>
        <w:rPr>
          <w:sz w:val="24"/>
          <w:szCs w:val="24"/>
          <w:lang w:val="en-US"/>
        </w:rPr>
      </w:pPr>
    </w:p>
    <w:p w:rsidR="0072056F" w:rsidRDefault="0072056F" w:rsidP="004520F0">
      <w:pPr>
        <w:spacing w:line="240" w:lineRule="auto"/>
        <w:rPr>
          <w:sz w:val="24"/>
          <w:szCs w:val="24"/>
          <w:lang w:val="en-US"/>
        </w:rPr>
      </w:pPr>
    </w:p>
    <w:p w:rsidR="0072056F" w:rsidRDefault="0072056F" w:rsidP="004520F0">
      <w:pPr>
        <w:spacing w:line="240" w:lineRule="auto"/>
        <w:rPr>
          <w:sz w:val="24"/>
          <w:szCs w:val="24"/>
          <w:lang w:val="en-US"/>
        </w:rPr>
      </w:pPr>
    </w:p>
    <w:p w:rsidR="0072056F" w:rsidRDefault="0072056F" w:rsidP="004520F0">
      <w:pPr>
        <w:spacing w:line="240" w:lineRule="auto"/>
        <w:rPr>
          <w:sz w:val="24"/>
          <w:szCs w:val="24"/>
          <w:lang w:val="en-US"/>
        </w:rPr>
      </w:pPr>
    </w:p>
    <w:p w:rsidR="0072056F" w:rsidRDefault="0072056F" w:rsidP="004520F0">
      <w:pPr>
        <w:spacing w:line="240" w:lineRule="auto"/>
        <w:rPr>
          <w:sz w:val="24"/>
          <w:szCs w:val="24"/>
          <w:lang w:val="en-US"/>
        </w:rPr>
      </w:pPr>
    </w:p>
    <w:p w:rsidR="0072056F" w:rsidRDefault="0072056F" w:rsidP="004520F0">
      <w:pPr>
        <w:spacing w:line="240" w:lineRule="auto"/>
        <w:rPr>
          <w:b/>
          <w:sz w:val="24"/>
          <w:szCs w:val="24"/>
        </w:rPr>
      </w:pPr>
    </w:p>
    <w:p w:rsidR="00EE43F5" w:rsidRDefault="00EE43F5" w:rsidP="004520F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Overview of </w:t>
      </w:r>
      <w:r w:rsidR="00BB01AB">
        <w:rPr>
          <w:b/>
          <w:sz w:val="24"/>
          <w:szCs w:val="24"/>
        </w:rPr>
        <w:t>Y</w:t>
      </w:r>
      <w:r>
        <w:rPr>
          <w:b/>
          <w:sz w:val="24"/>
          <w:szCs w:val="24"/>
        </w:rPr>
        <w:t xml:space="preserve">ear 1 and 2 </w:t>
      </w:r>
      <w:r w:rsidR="0027788B" w:rsidRPr="000A6794">
        <w:rPr>
          <w:b/>
          <w:sz w:val="24"/>
          <w:szCs w:val="24"/>
        </w:rPr>
        <w:t>Results:</w:t>
      </w:r>
      <w:r w:rsidR="0059331E" w:rsidRPr="000A6794">
        <w:rPr>
          <w:b/>
          <w:sz w:val="24"/>
          <w:szCs w:val="24"/>
        </w:rPr>
        <w:t xml:space="preserve"> </w:t>
      </w:r>
    </w:p>
    <w:p w:rsidR="00EE43F5" w:rsidRPr="00EE43F5" w:rsidRDefault="00EE43F5" w:rsidP="00EE43F5">
      <w:pPr>
        <w:spacing w:line="240" w:lineRule="auto"/>
        <w:rPr>
          <w:sz w:val="24"/>
          <w:szCs w:val="24"/>
        </w:rPr>
      </w:pPr>
      <w:r w:rsidRPr="00EE43F5">
        <w:rPr>
          <w:sz w:val="24"/>
          <w:szCs w:val="24"/>
        </w:rPr>
        <w:t xml:space="preserve">Anaerobic events at 5 cm occurred after both planting and side-dress fertilization in 2015. </w:t>
      </w:r>
      <w:r w:rsidR="0072056F">
        <w:rPr>
          <w:sz w:val="24"/>
          <w:szCs w:val="24"/>
        </w:rPr>
        <w:t>In</w:t>
      </w:r>
      <w:r w:rsidRPr="00EE43F5">
        <w:rPr>
          <w:sz w:val="24"/>
          <w:szCs w:val="24"/>
        </w:rPr>
        <w:t xml:space="preserve"> 2016 the soil was drier and anaerobic condition at 5</w:t>
      </w:r>
      <w:r w:rsidR="00BB01AB">
        <w:rPr>
          <w:sz w:val="24"/>
          <w:szCs w:val="24"/>
        </w:rPr>
        <w:t xml:space="preserve"> </w:t>
      </w:r>
      <w:r w:rsidRPr="00EE43F5">
        <w:rPr>
          <w:sz w:val="24"/>
          <w:szCs w:val="24"/>
        </w:rPr>
        <w:t xml:space="preserve">cm </w:t>
      </w:r>
      <w:r w:rsidR="00BB01AB">
        <w:rPr>
          <w:sz w:val="24"/>
          <w:szCs w:val="24"/>
        </w:rPr>
        <w:t xml:space="preserve">were not observed </w:t>
      </w:r>
      <w:r w:rsidRPr="00EE43F5">
        <w:rPr>
          <w:sz w:val="24"/>
          <w:szCs w:val="24"/>
        </w:rPr>
        <w:t>between planting and silking stage (Figure 1)</w:t>
      </w:r>
      <w:r w:rsidR="00BB01AB">
        <w:rPr>
          <w:sz w:val="24"/>
          <w:szCs w:val="24"/>
        </w:rPr>
        <w:t>.  Consequently</w:t>
      </w:r>
      <w:r w:rsidR="00403843">
        <w:rPr>
          <w:sz w:val="24"/>
          <w:szCs w:val="24"/>
        </w:rPr>
        <w:t>,</w:t>
      </w:r>
      <w:r w:rsidR="00BB01AB">
        <w:rPr>
          <w:sz w:val="24"/>
          <w:szCs w:val="24"/>
        </w:rPr>
        <w:t xml:space="preserve"> no significant emission events occurred in 2016, </w:t>
      </w:r>
      <w:r w:rsidR="0072056F">
        <w:rPr>
          <w:sz w:val="24"/>
          <w:szCs w:val="24"/>
        </w:rPr>
        <w:t>but h</w:t>
      </w:r>
      <w:r w:rsidRPr="00EE43F5">
        <w:rPr>
          <w:sz w:val="24"/>
          <w:szCs w:val="24"/>
        </w:rPr>
        <w:t xml:space="preserve">igh emission events </w:t>
      </w:r>
      <w:r w:rsidR="0072056F">
        <w:rPr>
          <w:sz w:val="24"/>
          <w:szCs w:val="24"/>
        </w:rPr>
        <w:t>were frequent in 2015,</w:t>
      </w:r>
      <w:r w:rsidRPr="00EE43F5">
        <w:rPr>
          <w:sz w:val="24"/>
          <w:szCs w:val="24"/>
        </w:rPr>
        <w:t xml:space="preserve"> when nitrate concentration in soil was high and after precipitation events leading to WFPS values higher than 60% (Figures 2)</w:t>
      </w:r>
      <w:r w:rsidR="0072056F">
        <w:rPr>
          <w:sz w:val="24"/>
          <w:szCs w:val="24"/>
        </w:rPr>
        <w:t>.</w:t>
      </w:r>
    </w:p>
    <w:p w:rsidR="00EE43F5" w:rsidRDefault="00EE43F5" w:rsidP="00EE43F5">
      <w:pPr>
        <w:spacing w:line="240" w:lineRule="auto"/>
        <w:rPr>
          <w:sz w:val="24"/>
          <w:szCs w:val="24"/>
        </w:rPr>
      </w:pPr>
      <w:r w:rsidRPr="00EE43F5">
        <w:rPr>
          <w:sz w:val="24"/>
          <w:szCs w:val="24"/>
        </w:rPr>
        <w:t xml:space="preserve">For the weather conditions experienced in the 2015 corn growing season, significantly less </w:t>
      </w:r>
      <w:r w:rsidR="0072056F">
        <w:rPr>
          <w:sz w:val="24"/>
          <w:szCs w:val="24"/>
        </w:rPr>
        <w:t>N</w:t>
      </w:r>
      <w:r w:rsidR="0072056F" w:rsidRPr="0072056F">
        <w:rPr>
          <w:sz w:val="24"/>
          <w:szCs w:val="24"/>
          <w:vertAlign w:val="subscript"/>
        </w:rPr>
        <w:t>2</w:t>
      </w:r>
      <w:r w:rsidR="0072056F">
        <w:rPr>
          <w:sz w:val="24"/>
          <w:szCs w:val="24"/>
        </w:rPr>
        <w:t xml:space="preserve">O </w:t>
      </w:r>
      <w:r w:rsidRPr="00EE43F5">
        <w:rPr>
          <w:sz w:val="24"/>
          <w:szCs w:val="24"/>
        </w:rPr>
        <w:t>emission happened for the field receiving UAN + NUI compared to the field fertilized with UAN at side-dress stage</w:t>
      </w:r>
      <w:r w:rsidR="0072056F">
        <w:rPr>
          <w:sz w:val="24"/>
          <w:szCs w:val="24"/>
        </w:rPr>
        <w:t xml:space="preserve">, with no </w:t>
      </w:r>
      <w:r w:rsidRPr="00EE43F5">
        <w:rPr>
          <w:sz w:val="24"/>
          <w:szCs w:val="24"/>
        </w:rPr>
        <w:t xml:space="preserve">source effect </w:t>
      </w:r>
      <w:r w:rsidR="0072056F">
        <w:rPr>
          <w:sz w:val="24"/>
          <w:szCs w:val="24"/>
        </w:rPr>
        <w:t xml:space="preserve">observed </w:t>
      </w:r>
      <w:r w:rsidRPr="00EE43F5">
        <w:rPr>
          <w:sz w:val="24"/>
          <w:szCs w:val="24"/>
        </w:rPr>
        <w:t xml:space="preserve">at planting. </w:t>
      </w:r>
      <w:r w:rsidR="0072056F">
        <w:rPr>
          <w:sz w:val="24"/>
          <w:szCs w:val="24"/>
        </w:rPr>
        <w:t>Timing did not affect N</w:t>
      </w:r>
      <w:r w:rsidR="0072056F" w:rsidRPr="0072056F">
        <w:rPr>
          <w:sz w:val="24"/>
          <w:szCs w:val="24"/>
          <w:vertAlign w:val="subscript"/>
        </w:rPr>
        <w:t>2</w:t>
      </w:r>
      <w:r w:rsidR="0072056F">
        <w:rPr>
          <w:sz w:val="24"/>
          <w:szCs w:val="24"/>
        </w:rPr>
        <w:t xml:space="preserve">O emissions (Figure 3). </w:t>
      </w:r>
      <w:r w:rsidRPr="00EE43F5">
        <w:rPr>
          <w:sz w:val="24"/>
          <w:szCs w:val="24"/>
        </w:rPr>
        <w:t>Due to the dr</w:t>
      </w:r>
      <w:r w:rsidR="0072056F">
        <w:rPr>
          <w:sz w:val="24"/>
          <w:szCs w:val="24"/>
        </w:rPr>
        <w:t>y</w:t>
      </w:r>
      <w:r w:rsidRPr="00EE43F5">
        <w:rPr>
          <w:sz w:val="24"/>
          <w:szCs w:val="24"/>
        </w:rPr>
        <w:t xml:space="preserve"> soil conditions, significantly less emissions </w:t>
      </w:r>
      <w:r w:rsidR="0072056F">
        <w:rPr>
          <w:sz w:val="24"/>
          <w:szCs w:val="24"/>
        </w:rPr>
        <w:t>wer</w:t>
      </w:r>
      <w:r w:rsidR="00825163">
        <w:rPr>
          <w:sz w:val="24"/>
          <w:szCs w:val="24"/>
        </w:rPr>
        <w:t>e</w:t>
      </w:r>
      <w:r w:rsidR="0072056F">
        <w:rPr>
          <w:sz w:val="24"/>
          <w:szCs w:val="24"/>
        </w:rPr>
        <w:t xml:space="preserve"> observed </w:t>
      </w:r>
      <w:r w:rsidRPr="00EE43F5">
        <w:rPr>
          <w:sz w:val="24"/>
          <w:szCs w:val="24"/>
        </w:rPr>
        <w:t>in 2016 than in 2015 (Figures 3). For 2016, applying urea + NUI at planting resulted in less N</w:t>
      </w:r>
      <w:r w:rsidRPr="0072056F">
        <w:rPr>
          <w:sz w:val="24"/>
          <w:szCs w:val="24"/>
          <w:vertAlign w:val="subscript"/>
        </w:rPr>
        <w:t>2</w:t>
      </w:r>
      <w:r w:rsidRPr="00EE43F5">
        <w:rPr>
          <w:sz w:val="24"/>
          <w:szCs w:val="24"/>
        </w:rPr>
        <w:t>O emissions than just urea applied at planting</w:t>
      </w:r>
      <w:r w:rsidR="0072056F">
        <w:rPr>
          <w:sz w:val="24"/>
          <w:szCs w:val="24"/>
        </w:rPr>
        <w:t xml:space="preserve">, </w:t>
      </w:r>
      <w:r w:rsidRPr="00EE43F5">
        <w:rPr>
          <w:sz w:val="24"/>
          <w:szCs w:val="24"/>
        </w:rPr>
        <w:t xml:space="preserve">UAN + NUI at </w:t>
      </w:r>
      <w:r w:rsidR="0072056F">
        <w:rPr>
          <w:sz w:val="24"/>
          <w:szCs w:val="24"/>
        </w:rPr>
        <w:t xml:space="preserve">the </w:t>
      </w:r>
      <w:r w:rsidRPr="00EE43F5">
        <w:rPr>
          <w:sz w:val="24"/>
          <w:szCs w:val="24"/>
        </w:rPr>
        <w:t>side</w:t>
      </w:r>
      <w:r w:rsidR="0072056F">
        <w:rPr>
          <w:sz w:val="24"/>
          <w:szCs w:val="24"/>
        </w:rPr>
        <w:t>-</w:t>
      </w:r>
      <w:r w:rsidRPr="00EE43F5">
        <w:rPr>
          <w:sz w:val="24"/>
          <w:szCs w:val="24"/>
        </w:rPr>
        <w:t>dress stage resulted in less emission than urea applied at planting (Figure 3)</w:t>
      </w:r>
      <w:r w:rsidR="00403843">
        <w:rPr>
          <w:sz w:val="24"/>
          <w:szCs w:val="24"/>
        </w:rPr>
        <w:t>.</w:t>
      </w:r>
      <w:r w:rsidRPr="00EE43F5">
        <w:rPr>
          <w:sz w:val="24"/>
          <w:szCs w:val="24"/>
        </w:rPr>
        <w:t xml:space="preserve"> </w:t>
      </w:r>
    </w:p>
    <w:p w:rsidR="00A90312" w:rsidRPr="00A90312" w:rsidRDefault="00A90312" w:rsidP="00A90312">
      <w:pPr>
        <w:spacing w:line="240" w:lineRule="auto"/>
        <w:rPr>
          <w:sz w:val="24"/>
          <w:szCs w:val="24"/>
        </w:rPr>
      </w:pPr>
      <w:r w:rsidRPr="00A90312">
        <w:rPr>
          <w:sz w:val="24"/>
          <w:szCs w:val="24"/>
        </w:rPr>
        <w:t>Drainage events occurred during winter and early spring (Nov. to April) (Fig. 3A)</w:t>
      </w:r>
      <w:r>
        <w:rPr>
          <w:sz w:val="24"/>
          <w:szCs w:val="24"/>
        </w:rPr>
        <w:t xml:space="preserve">, and </w:t>
      </w:r>
      <w:r w:rsidRPr="00A90312">
        <w:rPr>
          <w:sz w:val="24"/>
          <w:szCs w:val="24"/>
        </w:rPr>
        <w:t>NO</w:t>
      </w:r>
      <w:r>
        <w:rPr>
          <w:sz w:val="24"/>
          <w:szCs w:val="24"/>
        </w:rPr>
        <w:softHyphen/>
      </w:r>
      <w:r w:rsidRPr="00A90312">
        <w:rPr>
          <w:sz w:val="24"/>
          <w:szCs w:val="24"/>
          <w:vertAlign w:val="subscript"/>
        </w:rPr>
        <w:t>3</w:t>
      </w:r>
      <w:r w:rsidRPr="00A90312">
        <w:rPr>
          <w:sz w:val="24"/>
          <w:szCs w:val="24"/>
          <w:vertAlign w:val="superscript"/>
        </w:rPr>
        <w:noBreakHyphen/>
      </w:r>
      <w:r w:rsidRPr="00A90312">
        <w:rPr>
          <w:sz w:val="24"/>
          <w:szCs w:val="24"/>
        </w:rPr>
        <w:t>-N concentration was highest during winter (Nov. to Feb.) (Fig. 3B)</w:t>
      </w:r>
      <w:r>
        <w:rPr>
          <w:sz w:val="24"/>
          <w:szCs w:val="24"/>
        </w:rPr>
        <w:t xml:space="preserve">. </w:t>
      </w:r>
      <w:r w:rsidRPr="00A90312">
        <w:rPr>
          <w:sz w:val="24"/>
          <w:szCs w:val="24"/>
        </w:rPr>
        <w:t>Winter freeze-thaw cycles may have induced several NO</w:t>
      </w:r>
      <w:r w:rsidRPr="00A90312">
        <w:rPr>
          <w:sz w:val="24"/>
          <w:szCs w:val="24"/>
          <w:vertAlign w:val="subscript"/>
        </w:rPr>
        <w:t>3</w:t>
      </w:r>
      <w:r w:rsidRPr="00A90312">
        <w:rPr>
          <w:sz w:val="24"/>
          <w:szCs w:val="24"/>
          <w:vertAlign w:val="superscript"/>
        </w:rPr>
        <w:t>-</w:t>
      </w:r>
      <w:r w:rsidRPr="00A90312">
        <w:rPr>
          <w:sz w:val="24"/>
          <w:szCs w:val="24"/>
        </w:rPr>
        <w:t>-N leaching events (Fig. 3C).</w:t>
      </w:r>
      <w:r>
        <w:rPr>
          <w:sz w:val="24"/>
          <w:szCs w:val="24"/>
        </w:rPr>
        <w:t xml:space="preserve"> </w:t>
      </w:r>
    </w:p>
    <w:p w:rsidR="00403843" w:rsidRPr="00EE43F5" w:rsidRDefault="00A90312" w:rsidP="00A90312">
      <w:pPr>
        <w:spacing w:line="240" w:lineRule="auto"/>
        <w:rPr>
          <w:sz w:val="24"/>
          <w:szCs w:val="24"/>
        </w:rPr>
      </w:pPr>
      <w:r w:rsidRPr="00A90312">
        <w:rPr>
          <w:sz w:val="24"/>
          <w:szCs w:val="24"/>
        </w:rPr>
        <w:t>Urea with NUI at planting did not have a significant effect on NO</w:t>
      </w:r>
      <w:r>
        <w:rPr>
          <w:sz w:val="24"/>
          <w:szCs w:val="24"/>
        </w:rPr>
        <w:softHyphen/>
      </w:r>
      <w:r w:rsidRPr="00A90312">
        <w:rPr>
          <w:sz w:val="24"/>
          <w:szCs w:val="24"/>
          <w:vertAlign w:val="subscript"/>
        </w:rPr>
        <w:t>3</w:t>
      </w:r>
      <w:r w:rsidRPr="00A90312">
        <w:rPr>
          <w:sz w:val="24"/>
          <w:szCs w:val="24"/>
          <w:vertAlign w:val="superscript"/>
        </w:rPr>
        <w:noBreakHyphen/>
      </w:r>
      <w:r w:rsidRPr="00A90312">
        <w:rPr>
          <w:sz w:val="24"/>
          <w:szCs w:val="24"/>
        </w:rPr>
        <w:t xml:space="preserve">-N leaching </w:t>
      </w:r>
      <w:r>
        <w:rPr>
          <w:sz w:val="24"/>
          <w:szCs w:val="24"/>
        </w:rPr>
        <w:t xml:space="preserve">compared to Urea </w:t>
      </w:r>
      <w:r w:rsidRPr="00A90312">
        <w:rPr>
          <w:sz w:val="24"/>
          <w:szCs w:val="24"/>
        </w:rPr>
        <w:t>(Fig. 4)</w:t>
      </w:r>
      <w:r>
        <w:rPr>
          <w:sz w:val="24"/>
          <w:szCs w:val="24"/>
        </w:rPr>
        <w:t xml:space="preserve">, however, </w:t>
      </w:r>
      <w:r w:rsidRPr="00A90312">
        <w:rPr>
          <w:sz w:val="24"/>
          <w:szCs w:val="24"/>
        </w:rPr>
        <w:t>UAN with NUI at side</w:t>
      </w:r>
      <w:r>
        <w:rPr>
          <w:sz w:val="24"/>
          <w:szCs w:val="24"/>
        </w:rPr>
        <w:t>-</w:t>
      </w:r>
      <w:r w:rsidRPr="00A90312">
        <w:rPr>
          <w:sz w:val="24"/>
          <w:szCs w:val="24"/>
        </w:rPr>
        <w:t>dress stage had a significant effect on NO</w:t>
      </w:r>
      <w:r>
        <w:rPr>
          <w:sz w:val="24"/>
          <w:szCs w:val="24"/>
        </w:rPr>
        <w:softHyphen/>
      </w:r>
      <w:r w:rsidRPr="00A90312">
        <w:rPr>
          <w:sz w:val="24"/>
          <w:szCs w:val="24"/>
          <w:vertAlign w:val="subscript"/>
        </w:rPr>
        <w:t>3</w:t>
      </w:r>
      <w:r w:rsidRPr="00A90312">
        <w:rPr>
          <w:sz w:val="24"/>
          <w:szCs w:val="24"/>
          <w:vertAlign w:val="superscript"/>
        </w:rPr>
        <w:noBreakHyphen/>
      </w:r>
      <w:r w:rsidRPr="00A90312">
        <w:rPr>
          <w:sz w:val="24"/>
          <w:szCs w:val="24"/>
        </w:rPr>
        <w:t xml:space="preserve">-N leaching </w:t>
      </w:r>
      <w:r>
        <w:rPr>
          <w:sz w:val="24"/>
          <w:szCs w:val="24"/>
        </w:rPr>
        <w:t xml:space="preserve">compared to UAN with now inhibitors </w:t>
      </w:r>
      <w:r w:rsidRPr="00A90312">
        <w:rPr>
          <w:sz w:val="24"/>
          <w:szCs w:val="24"/>
        </w:rPr>
        <w:t>(Fig. 4).</w:t>
      </w:r>
      <w:r>
        <w:rPr>
          <w:sz w:val="24"/>
          <w:szCs w:val="24"/>
        </w:rPr>
        <w:t xml:space="preserve"> </w:t>
      </w:r>
      <w:r w:rsidRPr="00A90312">
        <w:rPr>
          <w:sz w:val="24"/>
          <w:szCs w:val="24"/>
        </w:rPr>
        <w:t>Applying regular UAN product at side</w:t>
      </w:r>
      <w:r>
        <w:rPr>
          <w:sz w:val="24"/>
          <w:szCs w:val="24"/>
        </w:rPr>
        <w:t>-</w:t>
      </w:r>
      <w:r w:rsidRPr="00A90312">
        <w:rPr>
          <w:sz w:val="24"/>
          <w:szCs w:val="24"/>
        </w:rPr>
        <w:t>dress stage had a significant effect on NO</w:t>
      </w:r>
      <w:r>
        <w:rPr>
          <w:sz w:val="24"/>
          <w:szCs w:val="24"/>
        </w:rPr>
        <w:softHyphen/>
      </w:r>
      <w:r w:rsidRPr="00A90312">
        <w:rPr>
          <w:sz w:val="24"/>
          <w:szCs w:val="24"/>
          <w:vertAlign w:val="subscript"/>
        </w:rPr>
        <w:t>3</w:t>
      </w:r>
      <w:r w:rsidRPr="00A90312">
        <w:rPr>
          <w:sz w:val="24"/>
          <w:szCs w:val="24"/>
          <w:vertAlign w:val="superscript"/>
        </w:rPr>
        <w:noBreakHyphen/>
      </w:r>
      <w:r w:rsidRPr="00A90312">
        <w:rPr>
          <w:sz w:val="24"/>
          <w:szCs w:val="24"/>
        </w:rPr>
        <w:t>-N leaching, with a further reduction obtained by a</w:t>
      </w:r>
      <w:r>
        <w:rPr>
          <w:sz w:val="24"/>
          <w:szCs w:val="24"/>
        </w:rPr>
        <w:t xml:space="preserve">pplying an EEF product (Fig. 4). Measurements are on-going and will continue </w:t>
      </w:r>
      <w:r w:rsidRPr="00A90312">
        <w:rPr>
          <w:sz w:val="24"/>
          <w:szCs w:val="24"/>
        </w:rPr>
        <w:t>until May 2017.</w:t>
      </w:r>
    </w:p>
    <w:p w:rsidR="00EE43F5" w:rsidRPr="00EE43F5" w:rsidRDefault="00EE43F5" w:rsidP="00EE43F5">
      <w:pPr>
        <w:spacing w:line="240" w:lineRule="auto"/>
        <w:rPr>
          <w:sz w:val="24"/>
          <w:szCs w:val="24"/>
        </w:rPr>
      </w:pPr>
      <w:r w:rsidRPr="00EE43F5">
        <w:rPr>
          <w:sz w:val="24"/>
          <w:szCs w:val="24"/>
        </w:rPr>
        <w:t xml:space="preserve">Corn yield </w:t>
      </w:r>
      <w:r w:rsidR="00403843">
        <w:rPr>
          <w:sz w:val="24"/>
          <w:szCs w:val="24"/>
        </w:rPr>
        <w:t xml:space="preserve">showed significant reduction due to the delay in applying UAN as side-dress in 2015, although this effect was not observed for UAN+NUI (Figure 4). No significant differences were observed in 2016 (Figure </w:t>
      </w:r>
      <w:r w:rsidR="00A90312">
        <w:rPr>
          <w:sz w:val="24"/>
          <w:szCs w:val="24"/>
        </w:rPr>
        <w:t>6</w:t>
      </w:r>
      <w:r w:rsidR="00403843">
        <w:rPr>
          <w:sz w:val="24"/>
          <w:szCs w:val="24"/>
        </w:rPr>
        <w:t xml:space="preserve">). </w:t>
      </w:r>
    </w:p>
    <w:p w:rsidR="0027788B" w:rsidRDefault="00F06182" w:rsidP="007531E5">
      <w:pPr>
        <w:rPr>
          <w:b/>
          <w:sz w:val="24"/>
          <w:szCs w:val="24"/>
        </w:rPr>
      </w:pPr>
      <w:r w:rsidRPr="00F06182">
        <w:rPr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ADC22BE" wp14:editId="47926998">
            <wp:extent cx="6080760" cy="23425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182" w:rsidRDefault="006C5946" w:rsidP="00F06182">
      <w:pPr>
        <w:rPr>
          <w:b/>
          <w:lang w:val="en-US"/>
        </w:rPr>
      </w:pPr>
      <w:r>
        <w:rPr>
          <w:b/>
          <w:sz w:val="24"/>
          <w:szCs w:val="24"/>
        </w:rPr>
        <w:t>Figure 1:</w:t>
      </w:r>
      <w:r w:rsidR="00F06182" w:rsidRPr="00F06182">
        <w:rPr>
          <w:b/>
          <w:lang w:val="pt-BR"/>
        </w:rPr>
        <w:t xml:space="preserve"> Precipitation (solid blue bars); and, soil water filled pore space - WFPS at 5 cm (solid line) and 25 cm (dashed line). </w:t>
      </w:r>
      <w:r w:rsidR="00F06182" w:rsidRPr="00F06182">
        <w:rPr>
          <w:b/>
          <w:lang w:val="en-US"/>
        </w:rPr>
        <w:t>The black and gray areas indicate anaerobic conditions at 5 and 25 cm, respectively.</w:t>
      </w:r>
    </w:p>
    <w:p w:rsidR="002B0291" w:rsidRDefault="006B2CBA" w:rsidP="007531E5">
      <w:pPr>
        <w:rPr>
          <w:b/>
          <w:sz w:val="24"/>
          <w:szCs w:val="24"/>
        </w:rPr>
      </w:pPr>
      <w:r w:rsidRPr="00EF5741">
        <w:rPr>
          <w:b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68D321" wp14:editId="12785DA0">
                <wp:simplePos x="0" y="0"/>
                <wp:positionH relativeFrom="column">
                  <wp:posOffset>8171815</wp:posOffset>
                </wp:positionH>
                <wp:positionV relativeFrom="paragraph">
                  <wp:posOffset>3575050</wp:posOffset>
                </wp:positionV>
                <wp:extent cx="6455410" cy="707390"/>
                <wp:effectExtent l="0" t="0" r="0" b="0"/>
                <wp:wrapNone/>
                <wp:docPr id="4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5410" cy="707390"/>
                          <a:chOff x="10972800" y="2659327"/>
                          <a:chExt cx="7859135" cy="938898"/>
                        </a:xfrm>
                      </wpg:grpSpPr>
                      <wps:wsp>
                        <wps:cNvPr id="9" name="TextBox 51"/>
                        <wps:cNvSpPr txBox="1"/>
                        <wps:spPr>
                          <a:xfrm>
                            <a:off x="10972800" y="2659327"/>
                            <a:ext cx="1643668" cy="938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5741" w:rsidRDefault="00EF5741" w:rsidP="00EF57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  <w:lang w:val="pt-BR"/>
                                </w:rPr>
                                <w:t>**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52"/>
                        <wps:cNvSpPr txBox="1"/>
                        <wps:spPr>
                          <a:xfrm>
                            <a:off x="17907000" y="2659327"/>
                            <a:ext cx="924935" cy="938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5741" w:rsidRDefault="00EF5741" w:rsidP="00EF57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  <w:lang w:val="pt-BR"/>
                                </w:rPr>
                                <w:t>**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8D321" id="Group 53" o:spid="_x0000_s1026" style="position:absolute;margin-left:643.45pt;margin-top:281.5pt;width:508.3pt;height:55.7pt;z-index:251676672;mso-width-relative:margin;mso-height-relative:margin" coordorigin="109728,26593" coordsize="78591,9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1" o:spid="_x0000_s1027" type="#_x0000_t202" style="position:absolute;left:109728;top:26593;width:16436;height:9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EF5741" w:rsidRDefault="00EF5741" w:rsidP="00EF57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0"/>
                            <w:szCs w:val="80"/>
                            <w:lang w:val="pt-BR"/>
                          </w:rPr>
                          <w:t>**</w:t>
                        </w:r>
                      </w:p>
                    </w:txbxContent>
                  </v:textbox>
                </v:shape>
                <v:shape id="TextBox 52" o:spid="_x0000_s1028" type="#_x0000_t202" style="position:absolute;left:179070;top:26593;width:9249;height:9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EF5741" w:rsidRDefault="00EF5741" w:rsidP="00EF57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0"/>
                            <w:szCs w:val="80"/>
                            <w:lang w:val="pt-BR"/>
                          </w:rPr>
                          <w:t>**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5741" w:rsidRPr="00EF5741">
        <w:rPr>
          <w:b/>
          <w:noProof/>
          <w:sz w:val="24"/>
          <w:szCs w:val="24"/>
          <w:lang w:val="en-US" w:eastAsia="en-US"/>
        </w:rPr>
        <w:drawing>
          <wp:inline distT="0" distB="0" distL="0" distR="0" wp14:anchorId="5C54112C" wp14:editId="2023B9E0">
            <wp:extent cx="6080760" cy="311086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0291" w:rsidRDefault="00874F3E" w:rsidP="007531E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Figure 2: </w:t>
      </w:r>
      <w:r w:rsidR="00EF5741" w:rsidRPr="00EF5741">
        <w:rPr>
          <w:b/>
          <w:sz w:val="24"/>
          <w:szCs w:val="24"/>
          <w:lang w:val="pt-BR"/>
        </w:rPr>
        <w:t>N</w:t>
      </w:r>
      <w:r w:rsidR="00EF5741" w:rsidRPr="00EF5741">
        <w:rPr>
          <w:b/>
          <w:sz w:val="24"/>
          <w:szCs w:val="24"/>
          <w:vertAlign w:val="subscript"/>
          <w:lang w:val="pt-BR"/>
        </w:rPr>
        <w:t>2</w:t>
      </w:r>
      <w:r w:rsidR="00EF5741" w:rsidRPr="00EF5741">
        <w:rPr>
          <w:b/>
          <w:sz w:val="24"/>
          <w:szCs w:val="24"/>
          <w:lang w:val="pt-BR"/>
        </w:rPr>
        <w:t>O flux (solid gray line with solid circles); soil nitrate at 0-15 cm (dash dot line and dark circles); and, soil nitrate at 15-30 cm (dashed line and open triangles).</w:t>
      </w:r>
    </w:p>
    <w:p w:rsidR="002B0291" w:rsidRDefault="006B2CBA" w:rsidP="007531E5">
      <w:pPr>
        <w:rPr>
          <w:b/>
          <w:sz w:val="24"/>
          <w:szCs w:val="24"/>
        </w:rPr>
      </w:pPr>
      <w:r w:rsidRPr="006B2CBA">
        <w:rPr>
          <w:noProof/>
          <w:lang w:val="en-US" w:eastAsia="en-US"/>
        </w:rPr>
        <w:drawing>
          <wp:inline distT="0" distB="0" distL="0" distR="0" wp14:anchorId="7B8F4459" wp14:editId="423DFCBF">
            <wp:extent cx="6080760" cy="16040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41" w:rsidRPr="00EF5741" w:rsidRDefault="00EF5741" w:rsidP="00EF5741">
      <w:pPr>
        <w:rPr>
          <w:b/>
          <w:sz w:val="24"/>
          <w:szCs w:val="24"/>
          <w:lang w:val="en-US"/>
        </w:rPr>
      </w:pPr>
      <w:r w:rsidRPr="00EF5741">
        <w:rPr>
          <w:b/>
          <w:sz w:val="24"/>
          <w:szCs w:val="24"/>
          <w:lang w:val="pt-BR"/>
        </w:rPr>
        <w:t>Figure 3</w:t>
      </w:r>
      <w:r>
        <w:rPr>
          <w:b/>
          <w:sz w:val="24"/>
          <w:szCs w:val="24"/>
          <w:lang w:val="pt-BR"/>
        </w:rPr>
        <w:t>:</w:t>
      </w:r>
      <w:r w:rsidRPr="00EF5741">
        <w:rPr>
          <w:b/>
          <w:sz w:val="24"/>
          <w:szCs w:val="24"/>
          <w:lang w:val="pt-BR"/>
        </w:rPr>
        <w:t xml:space="preserve"> Cumulative emissions and statistical analysis. Wilcoxon signed-rank test with a Bonferroni correction was performed as a post hoc test. **= p&lt;0.01. </w:t>
      </w:r>
    </w:p>
    <w:p w:rsidR="002B0291" w:rsidRDefault="002B0291" w:rsidP="007531E5">
      <w:pPr>
        <w:rPr>
          <w:b/>
          <w:sz w:val="24"/>
          <w:szCs w:val="24"/>
        </w:rPr>
      </w:pPr>
    </w:p>
    <w:p w:rsidR="002B0291" w:rsidRDefault="00A90312" w:rsidP="007531E5">
      <w:pPr>
        <w:rPr>
          <w:b/>
          <w:sz w:val="24"/>
          <w:szCs w:val="24"/>
        </w:rPr>
      </w:pPr>
      <w:r w:rsidRPr="00A90312">
        <w:rPr>
          <w:noProof/>
          <w:lang w:val="en-US" w:eastAsia="en-US"/>
        </w:rPr>
        <w:drawing>
          <wp:inline distT="0" distB="0" distL="0" distR="0">
            <wp:extent cx="3626082" cy="490880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62" cy="491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12" w:rsidRDefault="00A90312" w:rsidP="00A90312">
      <w:pPr>
        <w:rPr>
          <w:b/>
          <w:sz w:val="24"/>
          <w:szCs w:val="24"/>
        </w:rPr>
      </w:pPr>
      <w:r w:rsidRPr="00A90312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4</w:t>
      </w:r>
      <w:r w:rsidRPr="00A90312">
        <w:rPr>
          <w:b/>
          <w:sz w:val="24"/>
          <w:szCs w:val="24"/>
        </w:rPr>
        <w:t>. Weekly averages: A. water budget components. B. NO</w:t>
      </w:r>
      <w:r w:rsidRPr="00A90312">
        <w:rPr>
          <w:b/>
          <w:sz w:val="24"/>
          <w:szCs w:val="24"/>
          <w:vertAlign w:val="subscript"/>
        </w:rPr>
        <w:t>3</w:t>
      </w:r>
      <w:r w:rsidRPr="00A90312">
        <w:rPr>
          <w:b/>
          <w:sz w:val="24"/>
          <w:szCs w:val="24"/>
          <w:vertAlign w:val="superscript"/>
        </w:rPr>
        <w:t>-</w:t>
      </w:r>
      <w:r w:rsidRPr="00A90312">
        <w:rPr>
          <w:b/>
          <w:sz w:val="24"/>
          <w:szCs w:val="24"/>
        </w:rPr>
        <w:t>-N concentration (with SEM). C. NO</w:t>
      </w:r>
      <w:r w:rsidRPr="00A90312">
        <w:rPr>
          <w:b/>
          <w:sz w:val="24"/>
          <w:szCs w:val="24"/>
          <w:vertAlign w:val="subscript"/>
        </w:rPr>
        <w:t>3</w:t>
      </w:r>
      <w:r w:rsidRPr="00A90312">
        <w:rPr>
          <w:b/>
          <w:sz w:val="24"/>
          <w:szCs w:val="24"/>
          <w:vertAlign w:val="superscript"/>
        </w:rPr>
        <w:t>-</w:t>
      </w:r>
      <w:r w:rsidRPr="00A90312">
        <w:rPr>
          <w:b/>
          <w:sz w:val="24"/>
          <w:szCs w:val="24"/>
        </w:rPr>
        <w:t>-N leached. Arrow indicates fertilization.</w:t>
      </w:r>
    </w:p>
    <w:p w:rsidR="00A90312" w:rsidRDefault="00A90312" w:rsidP="00A90312">
      <w:pPr>
        <w:rPr>
          <w:b/>
          <w:sz w:val="24"/>
          <w:szCs w:val="24"/>
        </w:rPr>
      </w:pPr>
    </w:p>
    <w:p w:rsidR="00A90312" w:rsidRDefault="00A90312" w:rsidP="00A90312">
      <w:pPr>
        <w:rPr>
          <w:b/>
          <w:sz w:val="24"/>
          <w:szCs w:val="24"/>
          <w:lang w:val="en-US"/>
        </w:rPr>
      </w:pPr>
      <w:r w:rsidRPr="00A90312">
        <w:rPr>
          <w:b/>
          <w:noProof/>
          <w:sz w:val="24"/>
          <w:szCs w:val="24"/>
          <w:lang w:val="en-US" w:eastAsia="en-US"/>
        </w:rPr>
        <w:drawing>
          <wp:inline distT="0" distB="0" distL="0" distR="0" wp14:anchorId="23E7ADF1" wp14:editId="0A08B39F">
            <wp:extent cx="3430322" cy="1936539"/>
            <wp:effectExtent l="0" t="0" r="0" b="0"/>
            <wp:docPr id="304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2117" cy="19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312" w:rsidRPr="00A90312" w:rsidRDefault="00A90312" w:rsidP="00A90312">
      <w:pPr>
        <w:rPr>
          <w:b/>
          <w:sz w:val="24"/>
          <w:szCs w:val="24"/>
          <w:lang w:val="en-US"/>
        </w:rPr>
      </w:pPr>
      <w:r w:rsidRPr="00A90312">
        <w:rPr>
          <w:b/>
          <w:sz w:val="24"/>
          <w:szCs w:val="24"/>
        </w:rPr>
        <w:t xml:space="preserve">Figure </w:t>
      </w:r>
      <w:r>
        <w:rPr>
          <w:b/>
          <w:sz w:val="24"/>
          <w:szCs w:val="24"/>
        </w:rPr>
        <w:t>5</w:t>
      </w:r>
      <w:r w:rsidRPr="00A90312">
        <w:rPr>
          <w:b/>
          <w:sz w:val="24"/>
          <w:szCs w:val="24"/>
        </w:rPr>
        <w:t>. Comparison of NO</w:t>
      </w:r>
      <w:r w:rsidRPr="00A90312">
        <w:rPr>
          <w:b/>
          <w:sz w:val="24"/>
          <w:szCs w:val="24"/>
          <w:vertAlign w:val="subscript"/>
        </w:rPr>
        <w:t>3</w:t>
      </w:r>
      <w:r w:rsidRPr="00A90312">
        <w:rPr>
          <w:b/>
          <w:sz w:val="24"/>
          <w:szCs w:val="24"/>
          <w:vertAlign w:val="superscript"/>
        </w:rPr>
        <w:t>-</w:t>
      </w:r>
      <w:r w:rsidRPr="00A90312">
        <w:rPr>
          <w:b/>
          <w:sz w:val="24"/>
          <w:szCs w:val="24"/>
        </w:rPr>
        <w:t>-N leached for treatments with application at planting (urea and urea+NUI) and application at sideress (UAN and UAN+NUI from Nov. 2015 to July 2016.  Significant differences determined using a t-test (P ≤ 0.05).</w:t>
      </w:r>
    </w:p>
    <w:p w:rsidR="002B0291" w:rsidRDefault="00EE43F5" w:rsidP="007531E5">
      <w:pPr>
        <w:rPr>
          <w:b/>
          <w:sz w:val="24"/>
          <w:szCs w:val="24"/>
        </w:rPr>
      </w:pPr>
      <w:r w:rsidRPr="00EE43F5">
        <w:rPr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921FA4E" wp14:editId="578C611E">
            <wp:extent cx="4267200" cy="3203102"/>
            <wp:effectExtent l="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F5" w:rsidRDefault="00A90312" w:rsidP="007531E5">
      <w:pPr>
        <w:rPr>
          <w:b/>
          <w:sz w:val="24"/>
          <w:szCs w:val="24"/>
        </w:rPr>
      </w:pPr>
      <w:r>
        <w:rPr>
          <w:b/>
          <w:sz w:val="24"/>
          <w:szCs w:val="24"/>
        </w:rPr>
        <w:t>Figure 6</w:t>
      </w:r>
      <w:r w:rsidR="00403843">
        <w:rPr>
          <w:b/>
          <w:sz w:val="24"/>
          <w:szCs w:val="24"/>
        </w:rPr>
        <w:t>: Corn grain yield measured in 2015 and 2016 for the timing and N source treatments.</w:t>
      </w:r>
    </w:p>
    <w:p w:rsidR="00825163" w:rsidRDefault="00825163" w:rsidP="007531E5">
      <w:pPr>
        <w:rPr>
          <w:b/>
          <w:sz w:val="24"/>
          <w:szCs w:val="24"/>
        </w:rPr>
      </w:pPr>
    </w:p>
    <w:p w:rsidR="002B0291" w:rsidRDefault="002B0291" w:rsidP="007531E5">
      <w:pPr>
        <w:rPr>
          <w:b/>
          <w:sz w:val="24"/>
          <w:szCs w:val="24"/>
        </w:rPr>
      </w:pPr>
      <w:r>
        <w:rPr>
          <w:b/>
          <w:sz w:val="24"/>
          <w:szCs w:val="24"/>
        </w:rPr>
        <w:t>SUMMARY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1"/>
        <w:gridCol w:w="3461"/>
        <w:gridCol w:w="3000"/>
      </w:tblGrid>
      <w:tr w:rsidR="002B0291" w:rsidTr="002B0291">
        <w:tc>
          <w:tcPr>
            <w:tcW w:w="3331" w:type="dxa"/>
          </w:tcPr>
          <w:p w:rsidR="002B0291" w:rsidRDefault="002B0291" w:rsidP="007531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4R</w:t>
            </w:r>
          </w:p>
        </w:tc>
        <w:tc>
          <w:tcPr>
            <w:tcW w:w="3461" w:type="dxa"/>
          </w:tcPr>
          <w:p w:rsidR="002B0291" w:rsidRDefault="002B0291" w:rsidP="007531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3000" w:type="dxa"/>
          </w:tcPr>
          <w:p w:rsidR="002B0291" w:rsidRDefault="002B0291" w:rsidP="007531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Preliminary Result</w:t>
            </w:r>
          </w:p>
        </w:tc>
      </w:tr>
      <w:tr w:rsidR="002B0291" w:rsidTr="002B0291">
        <w:tc>
          <w:tcPr>
            <w:tcW w:w="3331" w:type="dxa"/>
          </w:tcPr>
          <w:p w:rsidR="002B0291" w:rsidRPr="002B0291" w:rsidRDefault="002B0291" w:rsidP="002B0291">
            <w:pPr>
              <w:rPr>
                <w:sz w:val="24"/>
                <w:szCs w:val="24"/>
              </w:rPr>
            </w:pPr>
            <w:r w:rsidRPr="002B0291">
              <w:rPr>
                <w:sz w:val="24"/>
                <w:szCs w:val="24"/>
              </w:rPr>
              <w:t xml:space="preserve">Right Product at planting </w:t>
            </w:r>
          </w:p>
        </w:tc>
        <w:tc>
          <w:tcPr>
            <w:tcW w:w="3461" w:type="dxa"/>
          </w:tcPr>
          <w:p w:rsidR="002B0291" w:rsidRPr="002B0291" w:rsidRDefault="002B0291" w:rsidP="007531E5">
            <w:pPr>
              <w:rPr>
                <w:sz w:val="24"/>
                <w:szCs w:val="24"/>
              </w:rPr>
            </w:pPr>
            <w:r w:rsidRPr="002B0291">
              <w:rPr>
                <w:sz w:val="24"/>
                <w:szCs w:val="24"/>
              </w:rPr>
              <w:t>Urea-based EEF vs. Urea at corn planting</w:t>
            </w:r>
          </w:p>
        </w:tc>
        <w:tc>
          <w:tcPr>
            <w:tcW w:w="3000" w:type="dxa"/>
          </w:tcPr>
          <w:p w:rsidR="002B0291" w:rsidRPr="002B0291" w:rsidRDefault="00A90312" w:rsidP="00A903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Significant</w:t>
            </w:r>
            <w:r w:rsidR="00825163">
              <w:rPr>
                <w:sz w:val="24"/>
                <w:szCs w:val="24"/>
              </w:rPr>
              <w:t xml:space="preserve"> N</w:t>
            </w:r>
            <w:r w:rsidR="00825163" w:rsidRPr="00825163">
              <w:rPr>
                <w:sz w:val="24"/>
                <w:szCs w:val="24"/>
                <w:vertAlign w:val="subscript"/>
              </w:rPr>
              <w:t>2</w:t>
            </w:r>
            <w:r w:rsidR="00825163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effects observed in dry year only when emissions were very small</w:t>
            </w:r>
          </w:p>
        </w:tc>
      </w:tr>
      <w:tr w:rsidR="002B0291" w:rsidTr="002B0291">
        <w:tc>
          <w:tcPr>
            <w:tcW w:w="3331" w:type="dxa"/>
          </w:tcPr>
          <w:p w:rsidR="002B0291" w:rsidRPr="002B0291" w:rsidRDefault="002B0291" w:rsidP="007531E5">
            <w:pPr>
              <w:rPr>
                <w:sz w:val="24"/>
                <w:szCs w:val="24"/>
              </w:rPr>
            </w:pPr>
            <w:r w:rsidRPr="002B0291">
              <w:rPr>
                <w:sz w:val="24"/>
                <w:szCs w:val="24"/>
              </w:rPr>
              <w:t>Right Time</w:t>
            </w:r>
          </w:p>
        </w:tc>
        <w:tc>
          <w:tcPr>
            <w:tcW w:w="3461" w:type="dxa"/>
          </w:tcPr>
          <w:p w:rsidR="002B0291" w:rsidRPr="002B0291" w:rsidRDefault="002B0291" w:rsidP="007531E5">
            <w:pPr>
              <w:rPr>
                <w:sz w:val="24"/>
                <w:szCs w:val="24"/>
              </w:rPr>
            </w:pPr>
            <w:r w:rsidRPr="002B0291">
              <w:rPr>
                <w:sz w:val="24"/>
                <w:szCs w:val="24"/>
              </w:rPr>
              <w:t xml:space="preserve">UAN </w:t>
            </w:r>
            <w:r>
              <w:rPr>
                <w:sz w:val="24"/>
                <w:szCs w:val="24"/>
              </w:rPr>
              <w:t>at 6</w:t>
            </w:r>
            <w:r w:rsidRPr="002B029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leaf stage vs. urea at planting</w:t>
            </w:r>
          </w:p>
        </w:tc>
        <w:tc>
          <w:tcPr>
            <w:tcW w:w="3000" w:type="dxa"/>
          </w:tcPr>
          <w:p w:rsidR="002B0291" w:rsidRPr="002B0291" w:rsidRDefault="002B0291" w:rsidP="007531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Benefits for Right Time were not observed</w:t>
            </w:r>
            <w:r w:rsidR="00A90312">
              <w:rPr>
                <w:sz w:val="24"/>
                <w:szCs w:val="24"/>
              </w:rPr>
              <w:t xml:space="preserve"> in either of the years studied</w:t>
            </w:r>
          </w:p>
        </w:tc>
      </w:tr>
      <w:tr w:rsidR="002B0291" w:rsidTr="002B0291">
        <w:tc>
          <w:tcPr>
            <w:tcW w:w="3331" w:type="dxa"/>
          </w:tcPr>
          <w:p w:rsidR="002B0291" w:rsidRPr="002B0291" w:rsidRDefault="002B0291" w:rsidP="002B0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Right Product at 6</w:t>
            </w:r>
            <w:r w:rsidRPr="002B029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leaf stage</w:t>
            </w:r>
          </w:p>
        </w:tc>
        <w:tc>
          <w:tcPr>
            <w:tcW w:w="3461" w:type="dxa"/>
          </w:tcPr>
          <w:p w:rsidR="002B0291" w:rsidRPr="002B0291" w:rsidRDefault="002B0291" w:rsidP="007531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UAN-based EEF vs. UAN at 6</w:t>
            </w:r>
            <w:r w:rsidRPr="002B029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leaf stage</w:t>
            </w:r>
          </w:p>
        </w:tc>
        <w:tc>
          <w:tcPr>
            <w:tcW w:w="3000" w:type="dxa"/>
          </w:tcPr>
          <w:p w:rsidR="002B0291" w:rsidRPr="002B0291" w:rsidRDefault="002B0291" w:rsidP="008251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significant reduction in N</w:t>
            </w:r>
            <w:r w:rsidRPr="002B0291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O emissions </w:t>
            </w:r>
            <w:r w:rsidR="00825163">
              <w:rPr>
                <w:sz w:val="24"/>
                <w:szCs w:val="24"/>
              </w:rPr>
              <w:t>and NO3 loss were</w:t>
            </w:r>
            <w:r>
              <w:rPr>
                <w:sz w:val="24"/>
                <w:szCs w:val="24"/>
              </w:rPr>
              <w:t xml:space="preserve"> observed with the Right Product</w:t>
            </w:r>
            <w:r w:rsidR="00A90312">
              <w:rPr>
                <w:sz w:val="24"/>
                <w:szCs w:val="24"/>
              </w:rPr>
              <w:t xml:space="preserve"> in the wet year when emissions were large</w:t>
            </w:r>
          </w:p>
        </w:tc>
      </w:tr>
      <w:tr w:rsidR="002B0291" w:rsidTr="002B0291">
        <w:tc>
          <w:tcPr>
            <w:tcW w:w="3331" w:type="dxa"/>
          </w:tcPr>
          <w:p w:rsidR="002B0291" w:rsidRPr="002B0291" w:rsidRDefault="00D76B31" w:rsidP="008251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Right Product </w:t>
            </w:r>
            <w:r w:rsidR="00825163">
              <w:rPr>
                <w:sz w:val="24"/>
                <w:szCs w:val="24"/>
              </w:rPr>
              <w:t xml:space="preserve">and Right time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61" w:type="dxa"/>
          </w:tcPr>
          <w:p w:rsidR="002B0291" w:rsidRPr="002B0291" w:rsidRDefault="00825163" w:rsidP="008251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UAN</w:t>
            </w:r>
            <w:r w:rsidR="00D76B31">
              <w:rPr>
                <w:sz w:val="24"/>
                <w:szCs w:val="24"/>
              </w:rPr>
              <w:t>-based EEF at 6</w:t>
            </w:r>
            <w:r w:rsidR="00D76B31" w:rsidRPr="00D76B31">
              <w:rPr>
                <w:sz w:val="24"/>
                <w:szCs w:val="24"/>
                <w:vertAlign w:val="superscript"/>
              </w:rPr>
              <w:t>th</w:t>
            </w:r>
            <w:r w:rsidR="00D76B31">
              <w:rPr>
                <w:sz w:val="24"/>
                <w:szCs w:val="24"/>
              </w:rPr>
              <w:t xml:space="preserve"> leaf stage</w:t>
            </w:r>
            <w:r>
              <w:rPr>
                <w:sz w:val="24"/>
                <w:szCs w:val="24"/>
              </w:rPr>
              <w:t xml:space="preserve"> vs. urea at planting</w:t>
            </w:r>
          </w:p>
        </w:tc>
        <w:tc>
          <w:tcPr>
            <w:tcW w:w="3000" w:type="dxa"/>
          </w:tcPr>
          <w:p w:rsidR="002B0291" w:rsidRPr="002B0291" w:rsidRDefault="00D76B31" w:rsidP="00680E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signifi</w:t>
            </w:r>
            <w:r w:rsidR="00680E2E">
              <w:rPr>
                <w:sz w:val="24"/>
                <w:szCs w:val="24"/>
              </w:rPr>
              <w:t xml:space="preserve">cant reduction was observed for </w:t>
            </w:r>
            <w:r w:rsidR="00825163">
              <w:rPr>
                <w:sz w:val="24"/>
                <w:szCs w:val="24"/>
              </w:rPr>
              <w:t xml:space="preserve">right product at </w:t>
            </w:r>
            <w:r w:rsidR="00680E2E">
              <w:rPr>
                <w:sz w:val="24"/>
                <w:szCs w:val="24"/>
              </w:rPr>
              <w:t>side-dress only in the dry year when emissions were small</w:t>
            </w:r>
          </w:p>
        </w:tc>
      </w:tr>
    </w:tbl>
    <w:p w:rsidR="002B0291" w:rsidRPr="000A6794" w:rsidRDefault="002B0291" w:rsidP="007531E5">
      <w:pPr>
        <w:rPr>
          <w:b/>
          <w:sz w:val="24"/>
          <w:szCs w:val="24"/>
        </w:rPr>
      </w:pPr>
    </w:p>
    <w:sectPr w:rsidR="002B0291" w:rsidRPr="000A6794" w:rsidSect="0059331E">
      <w:pgSz w:w="12240" w:h="15840"/>
      <w:pgMar w:top="1008" w:right="1253" w:bottom="576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4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F55"/>
    <w:rsid w:val="00004B95"/>
    <w:rsid w:val="00060F29"/>
    <w:rsid w:val="000862AC"/>
    <w:rsid w:val="000A5928"/>
    <w:rsid w:val="000A6794"/>
    <w:rsid w:val="000E11B6"/>
    <w:rsid w:val="00111A09"/>
    <w:rsid w:val="00170B1D"/>
    <w:rsid w:val="001916CC"/>
    <w:rsid w:val="001B1332"/>
    <w:rsid w:val="001E6FE1"/>
    <w:rsid w:val="00257B7D"/>
    <w:rsid w:val="0027788B"/>
    <w:rsid w:val="0029297A"/>
    <w:rsid w:val="002B0291"/>
    <w:rsid w:val="00367420"/>
    <w:rsid w:val="003749B7"/>
    <w:rsid w:val="00403843"/>
    <w:rsid w:val="004520F0"/>
    <w:rsid w:val="0059331E"/>
    <w:rsid w:val="00595FE7"/>
    <w:rsid w:val="0059633E"/>
    <w:rsid w:val="00680E2E"/>
    <w:rsid w:val="006B2CBA"/>
    <w:rsid w:val="006C5946"/>
    <w:rsid w:val="0072056F"/>
    <w:rsid w:val="007531E5"/>
    <w:rsid w:val="007D7F55"/>
    <w:rsid w:val="00825163"/>
    <w:rsid w:val="00874F3E"/>
    <w:rsid w:val="00880CBF"/>
    <w:rsid w:val="00956038"/>
    <w:rsid w:val="009C331A"/>
    <w:rsid w:val="00A15507"/>
    <w:rsid w:val="00A90312"/>
    <w:rsid w:val="00B237FB"/>
    <w:rsid w:val="00BB01AB"/>
    <w:rsid w:val="00C93D2F"/>
    <w:rsid w:val="00CB7F02"/>
    <w:rsid w:val="00D145E5"/>
    <w:rsid w:val="00D2122B"/>
    <w:rsid w:val="00D67F0F"/>
    <w:rsid w:val="00D76B31"/>
    <w:rsid w:val="00DB3DE0"/>
    <w:rsid w:val="00E13279"/>
    <w:rsid w:val="00E80146"/>
    <w:rsid w:val="00EE43F5"/>
    <w:rsid w:val="00EF5741"/>
    <w:rsid w:val="00F06182"/>
    <w:rsid w:val="00F0748E"/>
    <w:rsid w:val="00F1545A"/>
    <w:rsid w:val="00FC0E08"/>
    <w:rsid w:val="00FE2A6E"/>
    <w:rsid w:val="00FE6411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90C2D0-90B3-434C-B3C4-AB9B0D57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F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7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6794"/>
    <w:pPr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customStyle="1" w:styleId="QuickS">
    <w:name w:val="Quick S"/>
    <w:rsid w:val="000A6794"/>
    <w:pPr>
      <w:autoSpaceDE w:val="0"/>
      <w:autoSpaceDN w:val="0"/>
      <w:adjustRightInd w:val="0"/>
      <w:spacing w:after="0" w:line="240" w:lineRule="auto"/>
      <w:ind w:left="-144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0A67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06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17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20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59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79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07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35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hyperlink" Target="mailto:cwagnerr@uoguelph.ca" TargetMode="Externa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Tom Bruulsema</cp:lastModifiedBy>
  <cp:revision>2</cp:revision>
  <dcterms:created xsi:type="dcterms:W3CDTF">2017-02-23T21:57:00Z</dcterms:created>
  <dcterms:modified xsi:type="dcterms:W3CDTF">2017-02-23T21:57:00Z</dcterms:modified>
</cp:coreProperties>
</file>